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FE9" w:rsidRDefault="009B2FE9">
      <w:pPr>
        <w:rPr>
          <w:noProof/>
        </w:rPr>
      </w:pPr>
      <w:r w:rsidRPr="00E055FE">
        <w:rPr>
          <w:noProof/>
        </w:rPr>
        <w:drawing>
          <wp:inline distT="0" distB="0" distL="0" distR="0" wp14:anchorId="2D8DE062" wp14:editId="36E5D7FC">
            <wp:extent cx="4623646" cy="2571750"/>
            <wp:effectExtent l="0" t="0" r="5715" b="0"/>
            <wp:docPr id="1749539773"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539773" name="Image 1" descr="Une image contenant logo&#10;&#10;Description générée automatiquement"/>
                    <pic:cNvPicPr/>
                  </pic:nvPicPr>
                  <pic:blipFill>
                    <a:blip r:embed="rId5"/>
                    <a:stretch>
                      <a:fillRect/>
                    </a:stretch>
                  </pic:blipFill>
                  <pic:spPr>
                    <a:xfrm>
                      <a:off x="0" y="0"/>
                      <a:ext cx="4634462" cy="2577766"/>
                    </a:xfrm>
                    <a:prstGeom prst="rect">
                      <a:avLst/>
                    </a:prstGeom>
                  </pic:spPr>
                </pic:pic>
              </a:graphicData>
            </a:graphic>
          </wp:inline>
        </w:drawing>
      </w:r>
    </w:p>
    <w:p w:rsidR="009B2FE9" w:rsidRDefault="009B2FE9" w:rsidP="009B2FE9">
      <w:pPr>
        <w:rPr>
          <w:noProof/>
        </w:rPr>
      </w:pPr>
    </w:p>
    <w:p w:rsidR="009B2FE9" w:rsidRDefault="009B2FE9" w:rsidP="009B2FE9">
      <w:pPr>
        <w:tabs>
          <w:tab w:val="left" w:pos="2070"/>
        </w:tabs>
      </w:pPr>
      <w:r>
        <w:tab/>
      </w:r>
    </w:p>
    <w:p w:rsidR="00864F44" w:rsidRDefault="009B2FE9" w:rsidP="00864F44">
      <w:pPr>
        <w:tabs>
          <w:tab w:val="left" w:pos="2070"/>
        </w:tabs>
        <w:rPr>
          <w:noProof/>
        </w:rPr>
      </w:pPr>
      <w:r>
        <w:t xml:space="preserve">                </w:t>
      </w:r>
      <w:r w:rsidRPr="00E055FE">
        <w:rPr>
          <w:noProof/>
        </w:rPr>
        <w:drawing>
          <wp:inline distT="0" distB="0" distL="0" distR="0" wp14:anchorId="716A964C" wp14:editId="2114DE11">
            <wp:extent cx="3876675" cy="2783583"/>
            <wp:effectExtent l="0" t="0" r="0" b="0"/>
            <wp:docPr id="1336140778"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140778" name="Image 1" descr="Une image contenant texte&#10;&#10;Description générée automatiquement"/>
                    <pic:cNvPicPr/>
                  </pic:nvPicPr>
                  <pic:blipFill>
                    <a:blip r:embed="rId6"/>
                    <a:stretch>
                      <a:fillRect/>
                    </a:stretch>
                  </pic:blipFill>
                  <pic:spPr>
                    <a:xfrm>
                      <a:off x="0" y="0"/>
                      <a:ext cx="3885518" cy="2789933"/>
                    </a:xfrm>
                    <a:prstGeom prst="rect">
                      <a:avLst/>
                    </a:prstGeom>
                  </pic:spPr>
                </pic:pic>
              </a:graphicData>
            </a:graphic>
          </wp:inline>
        </w:drawing>
      </w:r>
    </w:p>
    <w:p w:rsidR="00864F44" w:rsidRDefault="00864F44" w:rsidP="00864F44">
      <w:pPr>
        <w:tabs>
          <w:tab w:val="left" w:pos="1575"/>
        </w:tabs>
      </w:pPr>
    </w:p>
    <w:p w:rsidR="00864F44" w:rsidRDefault="00864F44" w:rsidP="00864F44">
      <w:pPr>
        <w:rPr>
          <w:b/>
          <w:sz w:val="36"/>
          <w:szCs w:val="36"/>
        </w:rPr>
      </w:pPr>
      <w:r>
        <w:rPr>
          <w:b/>
          <w:sz w:val="36"/>
          <w:szCs w:val="36"/>
        </w:rPr>
        <w:t>PLUi Sauldre et Sologne</w:t>
      </w:r>
    </w:p>
    <w:p w:rsidR="00864F44" w:rsidRPr="00864F44" w:rsidRDefault="00864F44" w:rsidP="00864F44">
      <w:pPr>
        <w:spacing w:after="120"/>
        <w:rPr>
          <w:bCs/>
          <w:color w:val="A6038B"/>
          <w:sz w:val="36"/>
          <w:szCs w:val="36"/>
          <w:u w:val="single"/>
        </w:rPr>
      </w:pPr>
      <w:r w:rsidRPr="00864F44">
        <w:rPr>
          <w:b/>
          <w:color w:val="A6038B"/>
          <w:sz w:val="36"/>
          <w:szCs w:val="36"/>
          <w:u w:val="single"/>
        </w:rPr>
        <w:t xml:space="preserve">Article 1 </w:t>
      </w:r>
      <w:r w:rsidRPr="00864F44">
        <w:rPr>
          <w:bCs/>
          <w:color w:val="A6038B"/>
          <w:sz w:val="36"/>
          <w:szCs w:val="36"/>
          <w:u w:val="single"/>
        </w:rPr>
        <w:t xml:space="preserve"> </w:t>
      </w:r>
    </w:p>
    <w:p w:rsidR="00864F44" w:rsidRPr="00864F44" w:rsidRDefault="00864F44" w:rsidP="00864F44">
      <w:pPr>
        <w:spacing w:line="192" w:lineRule="auto"/>
        <w:rPr>
          <w:b/>
          <w:color w:val="A6038B"/>
          <w:sz w:val="44"/>
          <w:szCs w:val="44"/>
        </w:rPr>
      </w:pPr>
      <w:r w:rsidRPr="003422D4">
        <w:rPr>
          <w:bCs/>
          <w:color w:val="A6038B"/>
          <w:sz w:val="44"/>
          <w:szCs w:val="44"/>
        </w:rPr>
        <w:t>Lancement de la procédure d’élaboration du PLUi et de la concertation</w:t>
      </w:r>
    </w:p>
    <w:p w:rsidR="00864F44" w:rsidRPr="00864F44" w:rsidRDefault="00864F44" w:rsidP="00864F44">
      <w:pPr>
        <w:rPr>
          <w:rFonts w:ascii="Myriad Pro" w:hAnsi="Myriad Pro"/>
          <w:iCs/>
        </w:rPr>
      </w:pPr>
      <w:r w:rsidRPr="00864F44">
        <w:rPr>
          <w:rFonts w:ascii="Myriad Pro" w:hAnsi="Myriad Pro"/>
          <w:iCs/>
        </w:rPr>
        <w:t>Les 14 communes de la Communauté de Communes de Sauldre et Sologne se sont engagées dans l’élaboration d’un Plan Local d’Urbanisme Intercommunal.</w:t>
      </w:r>
    </w:p>
    <w:p w:rsidR="00864F44" w:rsidRPr="003422D4" w:rsidRDefault="00864F44" w:rsidP="00864F44">
      <w:pPr>
        <w:jc w:val="both"/>
        <w:rPr>
          <w:rFonts w:ascii="Myriad Pro" w:hAnsi="Myriad Pro"/>
          <w:b/>
          <w:color w:val="A6038B"/>
        </w:rPr>
      </w:pPr>
      <w:r w:rsidRPr="003422D4">
        <w:rPr>
          <w:rFonts w:ascii="Myriad Pro" w:hAnsi="Myriad Pro"/>
          <w:b/>
          <w:color w:val="A6038B"/>
        </w:rPr>
        <w:t>Qu’est-ce qu’un PLUi ?</w:t>
      </w:r>
    </w:p>
    <w:p w:rsidR="00864F44" w:rsidRDefault="00864F44" w:rsidP="00864F44">
      <w:pPr>
        <w:pStyle w:val="Paragraphedeliste"/>
        <w:numPr>
          <w:ilvl w:val="0"/>
          <w:numId w:val="1"/>
        </w:numPr>
        <w:jc w:val="both"/>
        <w:rPr>
          <w:rFonts w:ascii="Myriad Pro" w:hAnsi="Myriad Pro"/>
          <w:sz w:val="20"/>
        </w:rPr>
      </w:pPr>
      <w:r w:rsidRPr="00CB6A62">
        <w:rPr>
          <w:rFonts w:ascii="Myriad Pro" w:hAnsi="Myriad Pro"/>
          <w:sz w:val="20"/>
        </w:rPr>
        <w:t xml:space="preserve">Un </w:t>
      </w:r>
      <w:r w:rsidRPr="00CB6A62">
        <w:rPr>
          <w:rFonts w:ascii="Myriad Pro" w:hAnsi="Myriad Pro"/>
          <w:b/>
          <w:sz w:val="20"/>
        </w:rPr>
        <w:t>projet de territoire</w:t>
      </w:r>
      <w:r w:rsidRPr="00CB6A62">
        <w:rPr>
          <w:rFonts w:ascii="Myriad Pro" w:hAnsi="Myriad Pro"/>
          <w:sz w:val="20"/>
        </w:rPr>
        <w:t xml:space="preserve"> transversal à l’échelle des 14 communes de Sauldre et Sologne qui exprime un cap et des objectifs communs pour l’aménagement de la Communauté de communes et définira les grandes orientations en matière d’urbanisme, de développement économique, d’habitat mais aussi de protection environnementale, des paysages et du patrimoine à l’horizon 2040.</w:t>
      </w:r>
    </w:p>
    <w:p w:rsidR="00864F44" w:rsidRPr="00CB6A62" w:rsidRDefault="00864F44" w:rsidP="00864F44">
      <w:pPr>
        <w:pStyle w:val="Paragraphedeliste"/>
        <w:jc w:val="both"/>
        <w:rPr>
          <w:rFonts w:ascii="Myriad Pro" w:hAnsi="Myriad Pro"/>
          <w:sz w:val="20"/>
        </w:rPr>
      </w:pPr>
    </w:p>
    <w:p w:rsidR="00864F44" w:rsidRPr="00CB6A62" w:rsidRDefault="00864F44" w:rsidP="00864F44">
      <w:pPr>
        <w:pStyle w:val="Paragraphedeliste"/>
        <w:numPr>
          <w:ilvl w:val="0"/>
          <w:numId w:val="1"/>
        </w:numPr>
        <w:jc w:val="both"/>
        <w:rPr>
          <w:rFonts w:ascii="Myriad Pro" w:hAnsi="Myriad Pro"/>
          <w:sz w:val="20"/>
        </w:rPr>
      </w:pPr>
      <w:r w:rsidRPr="00CB6A62">
        <w:rPr>
          <w:rFonts w:ascii="Myriad Pro" w:hAnsi="Myriad Pro"/>
          <w:bCs/>
          <w:sz w:val="20"/>
        </w:rPr>
        <w:lastRenderedPageBreak/>
        <w:t xml:space="preserve">Un </w:t>
      </w:r>
      <w:r w:rsidRPr="00CB6A62">
        <w:rPr>
          <w:rFonts w:ascii="Myriad Pro" w:hAnsi="Myriad Pro"/>
          <w:b/>
          <w:sz w:val="20"/>
        </w:rPr>
        <w:t>outil règlementaire</w:t>
      </w:r>
      <w:r w:rsidRPr="00CB6A62">
        <w:rPr>
          <w:rFonts w:ascii="Myriad Pro" w:hAnsi="Myriad Pro"/>
          <w:sz w:val="20"/>
        </w:rPr>
        <w:t xml:space="preserve"> unique applicable sur l’ensemble de l’intercommunalité. Il fixera le droit des sols applicables aux demandes d’urbanisme (permis de construire, déclarations préalables de travaux, permis d’aménager, etc.). Il se substituera à terme aux documents d’urbanisme communaux (les PLU et les cartes communales) et à l’application du RNU (règlement national d’urbanisme) pour les communes sans document. </w:t>
      </w:r>
    </w:p>
    <w:p w:rsidR="00864F44" w:rsidRPr="003422D4" w:rsidRDefault="00864F44" w:rsidP="00864F44">
      <w:pPr>
        <w:jc w:val="both"/>
        <w:rPr>
          <w:rFonts w:ascii="Myriad Pro" w:hAnsi="Myriad Pro"/>
          <w:b/>
          <w:color w:val="A6038B"/>
        </w:rPr>
      </w:pPr>
      <w:r>
        <w:rPr>
          <w:rFonts w:ascii="Myriad Pro" w:hAnsi="Myriad Pro"/>
          <w:b/>
          <w:color w:val="A6038B"/>
        </w:rPr>
        <w:t xml:space="preserve">Où en sommes-nous </w:t>
      </w:r>
      <w:r w:rsidRPr="003422D4">
        <w:rPr>
          <w:rFonts w:ascii="Myriad Pro" w:hAnsi="Myriad Pro"/>
          <w:b/>
          <w:color w:val="A6038B"/>
        </w:rPr>
        <w:t>?</w:t>
      </w:r>
    </w:p>
    <w:p w:rsidR="00864F44" w:rsidRDefault="00864F44" w:rsidP="00864F44">
      <w:pPr>
        <w:jc w:val="both"/>
        <w:rPr>
          <w:rFonts w:ascii="Myriad Pro" w:hAnsi="Myriad Pro"/>
          <w:sz w:val="20"/>
        </w:rPr>
      </w:pPr>
      <w:r w:rsidRPr="00CA71B9">
        <w:rPr>
          <w:rFonts w:ascii="Myriad Pro" w:hAnsi="Myriad Pro"/>
          <w:sz w:val="20"/>
        </w:rPr>
        <w:t xml:space="preserve">La communauté de communes </w:t>
      </w:r>
      <w:r>
        <w:rPr>
          <w:rFonts w:ascii="Myriad Pro" w:hAnsi="Myriad Pro"/>
          <w:sz w:val="20"/>
        </w:rPr>
        <w:t>Sauldre et Sologne a</w:t>
      </w:r>
      <w:r w:rsidRPr="00CA71B9">
        <w:rPr>
          <w:rFonts w:ascii="Myriad Pro" w:hAnsi="Myriad Pro"/>
          <w:sz w:val="20"/>
        </w:rPr>
        <w:t xml:space="preserve"> démarré </w:t>
      </w:r>
      <w:r>
        <w:rPr>
          <w:rFonts w:ascii="Myriad Pro" w:hAnsi="Myriad Pro"/>
          <w:sz w:val="20"/>
        </w:rPr>
        <w:t>une</w:t>
      </w:r>
      <w:r w:rsidRPr="00CA71B9">
        <w:rPr>
          <w:rFonts w:ascii="Myriad Pro" w:hAnsi="Myriad Pro"/>
          <w:sz w:val="20"/>
        </w:rPr>
        <w:t xml:space="preserve"> première </w:t>
      </w:r>
      <w:r>
        <w:rPr>
          <w:rFonts w:ascii="Myriad Pro" w:hAnsi="Myriad Pro"/>
          <w:sz w:val="20"/>
        </w:rPr>
        <w:t xml:space="preserve">étape de cette procédure : </w:t>
      </w:r>
      <w:r w:rsidRPr="00CB6A62">
        <w:rPr>
          <w:rFonts w:ascii="Myriad Pro" w:hAnsi="Myriad Pro"/>
          <w:sz w:val="20"/>
        </w:rPr>
        <w:t>celle du diagnostic territorial.</w:t>
      </w:r>
      <w:r w:rsidRPr="00CA71B9">
        <w:rPr>
          <w:rFonts w:ascii="Myriad Pro" w:hAnsi="Myriad Pro"/>
          <w:sz w:val="20"/>
        </w:rPr>
        <w:t xml:space="preserve"> </w:t>
      </w:r>
      <w:r>
        <w:rPr>
          <w:rFonts w:ascii="Myriad Pro" w:hAnsi="Myriad Pro"/>
          <w:sz w:val="20"/>
        </w:rPr>
        <w:t xml:space="preserve">La procédure totale s’étendra sur près de 3 ans. </w:t>
      </w:r>
    </w:p>
    <w:p w:rsidR="00864F44" w:rsidRDefault="00864F44" w:rsidP="00864F44">
      <w:pPr>
        <w:jc w:val="both"/>
        <w:rPr>
          <w:rFonts w:ascii="Myriad Pro" w:hAnsi="Myriad Pro"/>
          <w:sz w:val="20"/>
        </w:rPr>
      </w:pPr>
      <w:r>
        <w:rPr>
          <w:rFonts w:ascii="Myriad Pro" w:hAnsi="Myriad Pro"/>
          <w:sz w:val="20"/>
        </w:rPr>
        <w:t>Celle-ci vise à a</w:t>
      </w:r>
      <w:r w:rsidRPr="00CB6A62">
        <w:rPr>
          <w:rFonts w:ascii="Myriad Pro" w:hAnsi="Myriad Pro"/>
          <w:sz w:val="20"/>
        </w:rPr>
        <w:t>nalyser l’état initial du territoire</w:t>
      </w:r>
      <w:r>
        <w:rPr>
          <w:rFonts w:ascii="Myriad Pro" w:hAnsi="Myriad Pro"/>
          <w:sz w:val="20"/>
        </w:rPr>
        <w:t xml:space="preserve"> et identifier les dynamiques à l’œuvre sur le territoire pour l’ensemble des thématiques concernées et impactés par la politique locale d’urbanisme : la démographie, l’habitat, le marché de construction, l’économie, l’agriculture, le patrimoine bâti et naturel, la biodiversité, les paysages, etc. </w:t>
      </w:r>
    </w:p>
    <w:p w:rsidR="00864F44" w:rsidRDefault="00864F44" w:rsidP="00864F44">
      <w:pPr>
        <w:jc w:val="both"/>
        <w:rPr>
          <w:rFonts w:ascii="Myriad Pro" w:hAnsi="Myriad Pro"/>
          <w:sz w:val="20"/>
        </w:rPr>
      </w:pPr>
      <w:r>
        <w:rPr>
          <w:rFonts w:ascii="Myriad Pro" w:hAnsi="Myriad Pro"/>
          <w:sz w:val="20"/>
        </w:rPr>
        <w:t>Depuis le mois de février 2023, les élus, accompagnés par le</w:t>
      </w:r>
      <w:r w:rsidRPr="00CA71B9">
        <w:rPr>
          <w:rFonts w:ascii="Myriad Pro" w:hAnsi="Myriad Pro"/>
          <w:sz w:val="20"/>
        </w:rPr>
        <w:t xml:space="preserve"> Bureau d’études </w:t>
      </w:r>
      <w:proofErr w:type="spellStart"/>
      <w:r w:rsidRPr="00CA71B9">
        <w:rPr>
          <w:rFonts w:ascii="Myriad Pro" w:hAnsi="Myriad Pro"/>
          <w:sz w:val="20"/>
        </w:rPr>
        <w:t>Cittànova</w:t>
      </w:r>
      <w:proofErr w:type="spellEnd"/>
      <w:r>
        <w:rPr>
          <w:rFonts w:ascii="Myriad Pro" w:hAnsi="Myriad Pro"/>
          <w:sz w:val="20"/>
        </w:rPr>
        <w:t xml:space="preserve"> et</w:t>
      </w:r>
      <w:r w:rsidRPr="00CA71B9">
        <w:rPr>
          <w:rFonts w:ascii="Myriad Pro" w:hAnsi="Myriad Pro"/>
          <w:sz w:val="20"/>
        </w:rPr>
        <w:t xml:space="preserve"> </w:t>
      </w:r>
      <w:r>
        <w:rPr>
          <w:rFonts w:ascii="Myriad Pro" w:hAnsi="Myriad Pro"/>
          <w:sz w:val="20"/>
        </w:rPr>
        <w:t xml:space="preserve">par divers acteurs du territoire (services de l’Etat, chambres consulaires, partenaires institutionnels…), travaillent à établir ce diagnostic. A l’occasion de temps collectifs, à l’image de sortie en bus ou d’ateliers, mais aussi de temps individuels en commune, ils partagent leur vision du territoire. </w:t>
      </w:r>
    </w:p>
    <w:p w:rsidR="00864F44" w:rsidRDefault="00864F44" w:rsidP="00864F44">
      <w:pPr>
        <w:jc w:val="both"/>
        <w:rPr>
          <w:rFonts w:ascii="Myriad Pro" w:hAnsi="Myriad Pro"/>
          <w:sz w:val="20"/>
        </w:rPr>
      </w:pPr>
      <w:r>
        <w:rPr>
          <w:rFonts w:ascii="Myriad Pro" w:hAnsi="Myriad Pro"/>
          <w:sz w:val="20"/>
        </w:rPr>
        <w:t>Cette étape liminaire se poursuivra jusqu’à l’été 2023. Le mois de juin sera notamment consacré à son partage et son enrichissement par les partenaires, les élus et les habitants du territoire.</w:t>
      </w:r>
    </w:p>
    <w:p w:rsidR="00864F44" w:rsidRDefault="00864F44" w:rsidP="00864F44">
      <w:pPr>
        <w:jc w:val="both"/>
        <w:rPr>
          <w:rFonts w:ascii="Myriad Pro" w:hAnsi="Myriad Pro"/>
          <w:sz w:val="20"/>
        </w:rPr>
      </w:pPr>
      <w:r>
        <w:rPr>
          <w:rFonts w:ascii="Myriad Pro" w:hAnsi="Myriad Pro"/>
          <w:b/>
          <w:color w:val="A6038B"/>
        </w:rPr>
        <w:t>Quelles étapes à venir</w:t>
      </w:r>
      <w:r w:rsidRPr="003422D4">
        <w:rPr>
          <w:rFonts w:ascii="Myriad Pro" w:hAnsi="Myriad Pro"/>
          <w:b/>
          <w:color w:val="A6038B"/>
        </w:rPr>
        <w:t> ?</w:t>
      </w:r>
    </w:p>
    <w:p w:rsidR="00864F44" w:rsidRDefault="00864F44" w:rsidP="00864F44">
      <w:pPr>
        <w:jc w:val="both"/>
        <w:rPr>
          <w:rFonts w:ascii="Myriad Pro" w:hAnsi="Myriad Pro"/>
          <w:sz w:val="20"/>
        </w:rPr>
      </w:pPr>
      <w:r>
        <w:rPr>
          <w:rFonts w:ascii="Myriad Pro" w:hAnsi="Myriad Pro"/>
          <w:sz w:val="20"/>
        </w:rPr>
        <w:t xml:space="preserve">Ces constats partagés permettront d’identifier les enjeux, les forces et les fragilités du territoire intercommunal. Ils alimenteront les réflexions intercommunales à venir afin d’exprimer les orientations communes et le cap du projet de territoire. A ce titre, l’élaboration du Projet d’Aménagement et de Développement Durables (PADD), deuxième étape de l’élaboration du PLUi, se déroulera dès le second semestre de l’année 2023. </w:t>
      </w:r>
    </w:p>
    <w:p w:rsidR="00864F44" w:rsidRDefault="00864F44" w:rsidP="00864F44">
      <w:pPr>
        <w:jc w:val="both"/>
        <w:rPr>
          <w:rFonts w:ascii="Myriad Pro" w:hAnsi="Myriad Pro"/>
          <w:sz w:val="20"/>
        </w:rPr>
      </w:pPr>
      <w:r>
        <w:rPr>
          <w:rFonts w:ascii="Myriad Pro" w:hAnsi="Myriad Pro"/>
          <w:sz w:val="20"/>
        </w:rPr>
        <w:t xml:space="preserve">Une fois le cap fixé, les grandes orientations seront ensuite traduites de façon réglementaire à partir de 2024 par l’élaboration des pièces opposables du PLUi : le règlement écrit, le zonage et les orientations d’aménagement et de programmation. </w:t>
      </w:r>
    </w:p>
    <w:p w:rsidR="00864F44" w:rsidRDefault="00864F44" w:rsidP="00864F44">
      <w:pPr>
        <w:jc w:val="both"/>
        <w:rPr>
          <w:rFonts w:ascii="Myriad Pro" w:hAnsi="Myriad Pro"/>
          <w:sz w:val="20"/>
        </w:rPr>
      </w:pPr>
      <w:r>
        <w:rPr>
          <w:rFonts w:ascii="Myriad Pro" w:hAnsi="Myriad Pro"/>
          <w:sz w:val="20"/>
        </w:rPr>
        <w:t>Le PLUi devrait entrer en vigueur au cours de l’année 2026.</w:t>
      </w:r>
    </w:p>
    <w:p w:rsidR="00864F44" w:rsidRPr="003422D4" w:rsidRDefault="00864F44" w:rsidP="00864F44">
      <w:pPr>
        <w:jc w:val="both"/>
        <w:rPr>
          <w:rFonts w:ascii="Myriad Pro" w:hAnsi="Myriad Pro"/>
          <w:b/>
          <w:color w:val="A6038B"/>
        </w:rPr>
      </w:pPr>
      <w:r w:rsidRPr="003422D4">
        <w:rPr>
          <w:rFonts w:ascii="Myriad Pro" w:hAnsi="Myriad Pro"/>
          <w:b/>
          <w:color w:val="A6038B"/>
        </w:rPr>
        <w:t>Comment participer ?</w:t>
      </w:r>
    </w:p>
    <w:p w:rsidR="00864F44" w:rsidRDefault="00864F44" w:rsidP="00864F44">
      <w:pPr>
        <w:jc w:val="both"/>
        <w:rPr>
          <w:rFonts w:ascii="Myriad Pro" w:hAnsi="Myriad Pro"/>
          <w:sz w:val="20"/>
        </w:rPr>
      </w:pPr>
      <w:r w:rsidRPr="00CA71B9">
        <w:rPr>
          <w:rFonts w:ascii="Myriad Pro" w:hAnsi="Myriad Pro"/>
          <w:sz w:val="20"/>
        </w:rPr>
        <w:t xml:space="preserve">Tout au long de </w:t>
      </w:r>
      <w:r>
        <w:rPr>
          <w:rFonts w:ascii="Myriad Pro" w:hAnsi="Myriad Pro"/>
          <w:sz w:val="20"/>
        </w:rPr>
        <w:t xml:space="preserve">la procédure d’élaboration du PLUi se tiendra une concertation continue visant à permette à toutes les personnes de s’informer et de s’exprimer sur cette démarche : les habitants du territoire, les associations, les entreprises, les agriculteurs, les porteurs de projets, etc. </w:t>
      </w:r>
    </w:p>
    <w:p w:rsidR="00864F44" w:rsidRDefault="00864F44" w:rsidP="00864F44">
      <w:pPr>
        <w:jc w:val="both"/>
        <w:rPr>
          <w:rFonts w:ascii="Myriad Pro" w:hAnsi="Myriad Pro"/>
          <w:sz w:val="20"/>
        </w:rPr>
      </w:pPr>
      <w:r>
        <w:rPr>
          <w:rFonts w:ascii="Myriad Pro" w:hAnsi="Myriad Pro"/>
          <w:sz w:val="20"/>
        </w:rPr>
        <w:t xml:space="preserve">De nombreux temps de participation animeront la démarche : réunions publiques, ateliers participatifs, etc. </w:t>
      </w:r>
    </w:p>
    <w:p w:rsidR="00864F44" w:rsidRPr="0015259A" w:rsidRDefault="00864F44" w:rsidP="00864F44">
      <w:pPr>
        <w:jc w:val="both"/>
        <w:rPr>
          <w:rFonts w:ascii="Myriad Pro" w:hAnsi="Myriad Pro"/>
          <w:b/>
          <w:sz w:val="20"/>
        </w:rPr>
      </w:pPr>
      <w:r w:rsidRPr="0015259A">
        <w:rPr>
          <w:rFonts w:ascii="Myriad Pro" w:hAnsi="Myriad Pro"/>
          <w:b/>
          <w:sz w:val="20"/>
        </w:rPr>
        <w:t>Vous voulez connaitre l’avancée de la procédure ?</w:t>
      </w:r>
    </w:p>
    <w:p w:rsidR="00864F44" w:rsidRPr="002E3D47" w:rsidRDefault="00864F44" w:rsidP="00864F44">
      <w:pPr>
        <w:pStyle w:val="Paragraphedeliste"/>
        <w:numPr>
          <w:ilvl w:val="0"/>
          <w:numId w:val="3"/>
        </w:numPr>
        <w:spacing w:after="0"/>
        <w:jc w:val="both"/>
        <w:rPr>
          <w:rFonts w:ascii="Myriad Pro" w:hAnsi="Myriad Pro"/>
          <w:sz w:val="20"/>
        </w:rPr>
      </w:pPr>
      <w:r w:rsidRPr="002E3D47">
        <w:rPr>
          <w:rFonts w:ascii="Myriad Pro" w:hAnsi="Myriad Pro"/>
          <w:sz w:val="20"/>
        </w:rPr>
        <w:t xml:space="preserve">Rendez-vous sur le site internet de Communauté de communes Sauldre et Sologne : </w:t>
      </w:r>
      <w:hyperlink r:id="rId7" w:history="1">
        <w:r w:rsidRPr="000167FA">
          <w:rPr>
            <w:rStyle w:val="Lienhypertexte"/>
          </w:rPr>
          <w:t>www.sauldre-sologne.fr</w:t>
        </w:r>
      </w:hyperlink>
    </w:p>
    <w:p w:rsidR="00864F44" w:rsidRPr="002E3D47" w:rsidRDefault="00864F44" w:rsidP="00864F44">
      <w:pPr>
        <w:pStyle w:val="Paragraphedeliste"/>
        <w:numPr>
          <w:ilvl w:val="0"/>
          <w:numId w:val="3"/>
        </w:numPr>
        <w:spacing w:after="0"/>
        <w:jc w:val="both"/>
        <w:rPr>
          <w:rFonts w:ascii="Myriad Pro" w:hAnsi="Myriad Pro"/>
          <w:sz w:val="20"/>
        </w:rPr>
      </w:pPr>
      <w:r w:rsidRPr="002E3D47">
        <w:rPr>
          <w:rFonts w:ascii="Myriad Pro" w:hAnsi="Myriad Pro"/>
          <w:sz w:val="20"/>
        </w:rPr>
        <w:t>Retrouvez les articles dans les bulletins communaux et le journal de l’intercommunalité</w:t>
      </w:r>
    </w:p>
    <w:p w:rsidR="00864F44" w:rsidRPr="002E3D47" w:rsidRDefault="00864F44" w:rsidP="00864F44">
      <w:pPr>
        <w:jc w:val="both"/>
        <w:rPr>
          <w:rFonts w:ascii="Myriad Pro" w:hAnsi="Myriad Pro"/>
          <w:sz w:val="20"/>
        </w:rPr>
      </w:pPr>
      <w:r w:rsidRPr="002E3D47">
        <w:rPr>
          <w:rFonts w:ascii="Myriad Pro" w:hAnsi="Myriad Pro"/>
          <w:sz w:val="20"/>
        </w:rPr>
        <w:t xml:space="preserve"> </w:t>
      </w:r>
    </w:p>
    <w:p w:rsidR="00864F44" w:rsidRPr="0015259A" w:rsidRDefault="00864F44" w:rsidP="00864F44">
      <w:pPr>
        <w:jc w:val="both"/>
        <w:rPr>
          <w:rFonts w:ascii="Myriad Pro" w:hAnsi="Myriad Pro"/>
          <w:b/>
          <w:sz w:val="20"/>
        </w:rPr>
      </w:pPr>
      <w:r w:rsidRPr="0015259A">
        <w:rPr>
          <w:rFonts w:ascii="Myriad Pro" w:hAnsi="Myriad Pro"/>
          <w:b/>
          <w:sz w:val="20"/>
        </w:rPr>
        <w:t>Vous voulez donner votre avis et participer à la construction du projet ?</w:t>
      </w:r>
    </w:p>
    <w:p w:rsidR="00864F44" w:rsidRPr="00142498" w:rsidRDefault="00864F44" w:rsidP="00864F44">
      <w:pPr>
        <w:pStyle w:val="Paragraphedeliste"/>
        <w:numPr>
          <w:ilvl w:val="0"/>
          <w:numId w:val="2"/>
        </w:numPr>
        <w:spacing w:after="0"/>
        <w:jc w:val="both"/>
        <w:rPr>
          <w:rFonts w:ascii="Myriad Pro" w:hAnsi="Myriad Pro"/>
          <w:color w:val="FF0000"/>
          <w:sz w:val="20"/>
        </w:rPr>
      </w:pPr>
      <w:r w:rsidRPr="002E3D47">
        <w:rPr>
          <w:rFonts w:ascii="Myriad Pro" w:hAnsi="Myriad Pro"/>
          <w:sz w:val="20"/>
        </w:rPr>
        <w:t xml:space="preserve">Déposez vos contributions au sein du registre mis à votre disposition dans chaque commune et au siège de la communauté de communes </w:t>
      </w:r>
      <w:r>
        <w:rPr>
          <w:rFonts w:ascii="Myriad Pro" w:hAnsi="Myriad Pro"/>
          <w:sz w:val="20"/>
        </w:rPr>
        <w:t xml:space="preserve">ou sur l’adresse mail dédiée : </w:t>
      </w:r>
      <w:r w:rsidRPr="00142498">
        <w:rPr>
          <w:rFonts w:ascii="Myriad Pro" w:hAnsi="Myriad Pro"/>
          <w:color w:val="2F5496" w:themeColor="accent1" w:themeShade="BF"/>
          <w:sz w:val="20"/>
        </w:rPr>
        <w:t>plui@sauldre-sologne.fr</w:t>
      </w:r>
    </w:p>
    <w:p w:rsidR="00864F44" w:rsidRPr="002E3D47" w:rsidRDefault="00864F44" w:rsidP="00864F44">
      <w:pPr>
        <w:pStyle w:val="Paragraphedeliste"/>
        <w:numPr>
          <w:ilvl w:val="0"/>
          <w:numId w:val="2"/>
        </w:numPr>
        <w:spacing w:after="0"/>
        <w:jc w:val="both"/>
        <w:rPr>
          <w:rFonts w:ascii="Myriad Pro" w:hAnsi="Myriad Pro"/>
          <w:sz w:val="20"/>
        </w:rPr>
      </w:pPr>
      <w:r w:rsidRPr="002E3D47">
        <w:rPr>
          <w:rFonts w:ascii="Myriad Pro" w:hAnsi="Myriad Pro"/>
          <w:sz w:val="20"/>
        </w:rPr>
        <w:t>Participez aux réunions publiques organisées à chaque étape de la procédure</w:t>
      </w:r>
    </w:p>
    <w:p w:rsidR="00864F44" w:rsidRPr="00E055FE" w:rsidRDefault="00864F44" w:rsidP="00864F44">
      <w:pPr>
        <w:pStyle w:val="Paragraphedeliste"/>
        <w:numPr>
          <w:ilvl w:val="0"/>
          <w:numId w:val="2"/>
        </w:numPr>
        <w:jc w:val="both"/>
        <w:rPr>
          <w:rFonts w:ascii="Myriad Pro" w:hAnsi="Myriad Pro"/>
          <w:sz w:val="20"/>
        </w:rPr>
      </w:pPr>
      <w:r w:rsidRPr="002E3D47">
        <w:rPr>
          <w:rFonts w:ascii="Myriad Pro" w:hAnsi="Myriad Pro"/>
          <w:sz w:val="20"/>
        </w:rPr>
        <w:t>Contribuez aux ateliers participatifs pour l’élaboration du projet</w:t>
      </w:r>
    </w:p>
    <w:p w:rsidR="00864F44" w:rsidRDefault="00864F44" w:rsidP="00864F44">
      <w:pPr>
        <w:jc w:val="both"/>
        <w:rPr>
          <w:rFonts w:ascii="Myriad Pro" w:hAnsi="Myriad Pro"/>
          <w:sz w:val="20"/>
        </w:rPr>
      </w:pPr>
    </w:p>
    <w:p w:rsidR="00864F44" w:rsidRPr="00864F44" w:rsidRDefault="00864F44" w:rsidP="00864F44">
      <w:pPr>
        <w:tabs>
          <w:tab w:val="left" w:pos="1575"/>
        </w:tabs>
      </w:pPr>
    </w:p>
    <w:sectPr w:rsidR="00864F44" w:rsidRPr="00864F44" w:rsidSect="00864F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156E"/>
    <w:multiLevelType w:val="hybridMultilevel"/>
    <w:tmpl w:val="87BA8C7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33465221"/>
    <w:multiLevelType w:val="hybridMultilevel"/>
    <w:tmpl w:val="7FC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0E42F9"/>
    <w:multiLevelType w:val="hybridMultilevel"/>
    <w:tmpl w:val="D42C20B0"/>
    <w:lvl w:ilvl="0" w:tplc="749C04EA">
      <w:start w:val="1"/>
      <w:numFmt w:val="bullet"/>
      <w:lvlText w:val=""/>
      <w:lvlJc w:val="left"/>
      <w:pPr>
        <w:ind w:left="1069" w:hanging="360"/>
      </w:pPr>
      <w:rPr>
        <w:rFonts w:ascii="Symbol" w:hAnsi="Symbol"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797770328">
    <w:abstractNumId w:val="1"/>
  </w:num>
  <w:num w:numId="2" w16cid:durableId="530993564">
    <w:abstractNumId w:val="2"/>
  </w:num>
  <w:num w:numId="3" w16cid:durableId="260383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E9"/>
    <w:rsid w:val="00864F44"/>
    <w:rsid w:val="009B2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00C7"/>
  <w15:chartTrackingRefBased/>
  <w15:docId w15:val="{FEB0E6DE-5F87-4116-BBEA-E18A7299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4F44"/>
    <w:rPr>
      <w:color w:val="0563C1" w:themeColor="hyperlink"/>
      <w:u w:val="single"/>
    </w:rPr>
  </w:style>
  <w:style w:type="paragraph" w:styleId="Paragraphedeliste">
    <w:name w:val="List Paragraph"/>
    <w:basedOn w:val="Normal"/>
    <w:uiPriority w:val="34"/>
    <w:qFormat/>
    <w:rsid w:val="00864F44"/>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ldre-solog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3479</Characters>
  <Application>Microsoft Office Word</Application>
  <DocSecurity>0</DocSecurity>
  <Lines>28</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Presly</dc:creator>
  <cp:keywords/>
  <dc:description/>
  <cp:lastModifiedBy>Mairie Presly</cp:lastModifiedBy>
  <cp:revision>2</cp:revision>
  <dcterms:created xsi:type="dcterms:W3CDTF">2023-04-24T08:52:00Z</dcterms:created>
  <dcterms:modified xsi:type="dcterms:W3CDTF">2023-04-24T08:52:00Z</dcterms:modified>
</cp:coreProperties>
</file>